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77777777" w:rsidR="003254A3" w:rsidRPr="000719BB" w:rsidRDefault="00BD76C3" w:rsidP="00495877">
      <w:pPr>
        <w:pStyle w:val="Titul2"/>
        <w:jc w:val="both"/>
      </w:pPr>
      <w:r w:rsidRPr="00C954CF">
        <w:t>Příloha č. 2 c)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3C83E376" w14:textId="74529D5C" w:rsidR="00BF54FE" w:rsidRPr="0028606B" w:rsidRDefault="0028606B" w:rsidP="00495877">
      <w:pPr>
        <w:pStyle w:val="Tituldatum"/>
        <w:jc w:val="both"/>
        <w:rPr>
          <w:rStyle w:val="Nzevakce"/>
          <w:bCs/>
        </w:rPr>
      </w:pPr>
      <w:r w:rsidRPr="0028606B">
        <w:rPr>
          <w:rStyle w:val="Nzevakce"/>
          <w:bCs/>
        </w:rPr>
        <w:t>Oprava</w:t>
      </w:r>
      <w:r w:rsidR="0036375E">
        <w:rPr>
          <w:rStyle w:val="Nzevakce"/>
          <w:bCs/>
        </w:rPr>
        <w:t xml:space="preserve"> </w:t>
      </w:r>
      <w:r w:rsidR="0036375E" w:rsidRPr="0036375E">
        <w:rPr>
          <w:rStyle w:val="Nzevakce"/>
          <w:bCs/>
        </w:rPr>
        <w:t>kolejí a výhybek v žst. Meziměstí</w:t>
      </w: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5B144941" w14:textId="2EFAFC6F" w:rsidR="00826B7B" w:rsidRPr="0036375E" w:rsidRDefault="006C2343" w:rsidP="00495877">
      <w:pPr>
        <w:pStyle w:val="Tituldatum"/>
        <w:jc w:val="both"/>
      </w:pPr>
      <w:r w:rsidRPr="0036375E">
        <w:t xml:space="preserve">Datum vydání: </w:t>
      </w:r>
      <w:r w:rsidRPr="0036375E">
        <w:tab/>
      </w:r>
      <w:r w:rsidR="000B0A81">
        <w:t>30</w:t>
      </w:r>
      <w:r w:rsidRPr="0036375E">
        <w:t xml:space="preserve">. </w:t>
      </w:r>
      <w:r w:rsidR="0036375E">
        <w:t>5</w:t>
      </w:r>
      <w:r w:rsidRPr="0036375E">
        <w:t>. 20</w:t>
      </w:r>
      <w:r w:rsidR="002C0924" w:rsidRPr="0036375E">
        <w:t>2</w:t>
      </w:r>
      <w:r w:rsidR="00C954CF" w:rsidRPr="0036375E">
        <w:t>3</w:t>
      </w:r>
      <w:r w:rsidR="0076790E" w:rsidRPr="0036375E">
        <w:t xml:space="preserve"> </w:t>
      </w:r>
    </w:p>
    <w:p w14:paraId="3770A9B4" w14:textId="77777777" w:rsidR="006E39BA" w:rsidRDefault="006E39BA" w:rsidP="00495877">
      <w:pPr>
        <w:jc w:val="both"/>
      </w:pPr>
    </w:p>
    <w:p w14:paraId="6AD909FA" w14:textId="77777777" w:rsidR="006E39BA" w:rsidRDefault="006E39BA" w:rsidP="00495877">
      <w:pPr>
        <w:jc w:val="both"/>
      </w:pPr>
    </w:p>
    <w:p w14:paraId="0925D6EB" w14:textId="77777777" w:rsidR="006E39BA" w:rsidRDefault="006E39BA" w:rsidP="00495877">
      <w:pPr>
        <w:jc w:val="both"/>
      </w:pPr>
    </w:p>
    <w:p w14:paraId="344B334E" w14:textId="6CFF1E15" w:rsidR="00826B7B" w:rsidRDefault="00826B7B" w:rsidP="00495877">
      <w:pPr>
        <w:jc w:val="both"/>
      </w:pPr>
      <w:r>
        <w:br w:type="page"/>
      </w:r>
    </w:p>
    <w:p w14:paraId="6EF9DC99" w14:textId="219246A6" w:rsidR="00DF7BAA" w:rsidRDefault="0028606B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>
        <w:lastRenderedPageBreak/>
        <w:t xml:space="preserve">Předmět </w:t>
      </w:r>
      <w:r w:rsidRPr="0028606B">
        <w:t>zakázky a požadavky na zhotovení</w:t>
      </w:r>
      <w:r>
        <w:t xml:space="preserve"> </w:t>
      </w:r>
    </w:p>
    <w:p w14:paraId="0104C8A9" w14:textId="2639AC8D" w:rsidR="0028606B" w:rsidRPr="0028606B" w:rsidRDefault="0028606B" w:rsidP="00473134">
      <w:pPr>
        <w:spacing w:after="120"/>
        <w:jc w:val="both"/>
      </w:pPr>
      <w:r w:rsidRPr="0028606B">
        <w:t>Požaduje se zpracovat</w:t>
      </w:r>
      <w:r>
        <w:t xml:space="preserve"> </w:t>
      </w:r>
      <w:r w:rsidRPr="0028606B">
        <w:t xml:space="preserve">zjednodušenou </w:t>
      </w:r>
      <w:r w:rsidRPr="00FF2D74">
        <w:t>projektovou dokumentaci ve čtyřech vyhotoveních,</w:t>
      </w:r>
      <w:r w:rsidRPr="0028606B">
        <w:t xml:space="preserve"> včetně jejího projednání s civilními i drážními složkami s následujícím rozsahem:</w:t>
      </w:r>
    </w:p>
    <w:p w14:paraId="295CB1E9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Technická zpráva</w:t>
      </w:r>
    </w:p>
    <w:p w14:paraId="642203CF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Situace</w:t>
      </w:r>
    </w:p>
    <w:p w14:paraId="07F8FB53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 xml:space="preserve">Podélný profil </w:t>
      </w:r>
    </w:p>
    <w:p w14:paraId="75CE5626" w14:textId="3FE42006" w:rsidR="0028606B" w:rsidRPr="008B5A5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 xml:space="preserve">Vzorové příčné řezy </w:t>
      </w:r>
      <w:r w:rsidRPr="008B5A5B">
        <w:t>koleje</w:t>
      </w:r>
    </w:p>
    <w:p w14:paraId="07CBD616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Vytyčovací výkres</w:t>
      </w:r>
    </w:p>
    <w:p w14:paraId="31E0BB39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Technologický postup výlukových prací</w:t>
      </w:r>
    </w:p>
    <w:p w14:paraId="157B3A26" w14:textId="77777777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Položkový soupis prací s výkazem výměr (oceněný + neoceněný)</w:t>
      </w:r>
    </w:p>
    <w:p w14:paraId="33727F60" w14:textId="2F8410AC" w:rsidR="0028606B" w:rsidRPr="0028606B" w:rsidRDefault="0028606B" w:rsidP="00424B39">
      <w:pPr>
        <w:numPr>
          <w:ilvl w:val="0"/>
          <w:numId w:val="9"/>
        </w:numPr>
        <w:spacing w:after="120" w:line="240" w:lineRule="auto"/>
        <w:contextualSpacing/>
        <w:jc w:val="both"/>
      </w:pPr>
      <w:r w:rsidRPr="0028606B">
        <w:t>Dokladová část (výpis z katastru nemovitostí, kopie katastrální mapy, příp. informací o</w:t>
      </w:r>
      <w:r w:rsidR="00E16FEF">
        <w:t> </w:t>
      </w:r>
      <w:r w:rsidRPr="0028606B">
        <w:t xml:space="preserve">parcele, projednání s orgány státní správy a správců sítí) </w:t>
      </w:r>
    </w:p>
    <w:p w14:paraId="4A8D48DC" w14:textId="77777777" w:rsidR="0028606B" w:rsidRPr="0028606B" w:rsidRDefault="0028606B" w:rsidP="00473134">
      <w:pPr>
        <w:spacing w:after="120"/>
        <w:contextualSpacing/>
        <w:jc w:val="both"/>
      </w:pPr>
    </w:p>
    <w:p w14:paraId="29310899" w14:textId="381543C7" w:rsidR="0028606B" w:rsidRPr="0028606B" w:rsidRDefault="0028606B" w:rsidP="00473134">
      <w:pPr>
        <w:spacing w:after="120"/>
        <w:contextualSpacing/>
        <w:jc w:val="both"/>
      </w:pPr>
      <w:r w:rsidRPr="0028606B">
        <w:t>Souprava č.1 a č.2 bude opatřena razítkem s autorizací.</w:t>
      </w:r>
    </w:p>
    <w:p w14:paraId="5923A5E7" w14:textId="77777777" w:rsidR="0028606B" w:rsidRPr="0028606B" w:rsidRDefault="0028606B" w:rsidP="00473134">
      <w:pPr>
        <w:spacing w:after="120"/>
        <w:contextualSpacing/>
        <w:jc w:val="both"/>
      </w:pPr>
    </w:p>
    <w:p w14:paraId="47A08455" w14:textId="3A6C6BBE" w:rsidR="0028606B" w:rsidRPr="0028606B" w:rsidRDefault="0028606B" w:rsidP="00473134">
      <w:pPr>
        <w:spacing w:after="120"/>
        <w:contextualSpacing/>
        <w:jc w:val="both"/>
      </w:pPr>
      <w:r w:rsidRPr="0028606B">
        <w:t>Pro vytvoření položkového soupisu prací s výkazem výměr je závazný aktuální Sborník pro</w:t>
      </w:r>
      <w:r w:rsidR="006324BE">
        <w:t> </w:t>
      </w:r>
      <w:r w:rsidRPr="0028606B">
        <w:t>údržbu a opravy železniční infrastruktury a databáze ÚRS Praha a.s.</w:t>
      </w:r>
    </w:p>
    <w:p w14:paraId="27B346B9" w14:textId="77777777" w:rsidR="0028606B" w:rsidRDefault="0028606B" w:rsidP="00473134">
      <w:pPr>
        <w:spacing w:after="120"/>
        <w:contextualSpacing/>
        <w:jc w:val="both"/>
      </w:pPr>
    </w:p>
    <w:p w14:paraId="78143EF5" w14:textId="0BE34548" w:rsidR="0028606B" w:rsidRPr="0028606B" w:rsidRDefault="0028606B" w:rsidP="00473134">
      <w:pPr>
        <w:spacing w:after="120"/>
        <w:contextualSpacing/>
        <w:jc w:val="both"/>
      </w:pPr>
      <w:r w:rsidRPr="0028606B">
        <w:t>Před zahájením projektových prací bude svolána vstupní porada (případně místní šetření)</w:t>
      </w:r>
      <w:r w:rsidR="006324BE">
        <w:t>,</w:t>
      </w:r>
      <w:r w:rsidRPr="0028606B">
        <w:t xml:space="preserve"> za</w:t>
      </w:r>
      <w:r w:rsidR="006324BE">
        <w:t> </w:t>
      </w:r>
      <w:r w:rsidRPr="0028606B">
        <w:t>účasti jednotlivých správ OŘ Hradec Králové</w:t>
      </w:r>
      <w:r w:rsidR="006324BE">
        <w:t xml:space="preserve">, </w:t>
      </w:r>
      <w:r w:rsidRPr="0028606B">
        <w:t>za účelem upřesnění rozsahu projektové dokumentace. V závěru projektových prací bude svoláno konferenční projednání (v dostatečném předstihu, které umožní případné zapracování připomínek) za účasti jednotlivých správ OŘ</w:t>
      </w:r>
      <w:r w:rsidR="00E16FEF">
        <w:t> </w:t>
      </w:r>
      <w:r w:rsidRPr="0028606B">
        <w:t xml:space="preserve">Hradec Králové za účelem konečného projednání projektové dokumentace. </w:t>
      </w:r>
    </w:p>
    <w:p w14:paraId="7425F1A8" w14:textId="77777777" w:rsidR="000F153A" w:rsidRPr="0028606B" w:rsidRDefault="000F153A" w:rsidP="0028606B">
      <w:pPr>
        <w:jc w:val="both"/>
        <w:rPr>
          <w:color w:val="FF0000"/>
        </w:rPr>
      </w:pPr>
    </w:p>
    <w:p w14:paraId="67B2A3D9" w14:textId="65147408" w:rsidR="00E40CEC" w:rsidRDefault="0028606B" w:rsidP="00495877">
      <w:pPr>
        <w:pStyle w:val="Nadpis2-1"/>
        <w:jc w:val="both"/>
      </w:pPr>
      <w:bookmarkStart w:id="6" w:name="_Toc6410433"/>
      <w:bookmarkStart w:id="7" w:name="_Toc64963006"/>
      <w:bookmarkEnd w:id="0"/>
      <w:r w:rsidRPr="0028606B">
        <w:t>Stávající stav</w:t>
      </w:r>
    </w:p>
    <w:p w14:paraId="71FBD3BD" w14:textId="478967F7" w:rsidR="0028606B" w:rsidRPr="0028606B" w:rsidRDefault="00B10805" w:rsidP="00473134">
      <w:pPr>
        <w:spacing w:after="120"/>
        <w:contextualSpacing/>
        <w:jc w:val="both"/>
      </w:pPr>
      <w:r>
        <w:t>Výhybky stupňov</w:t>
      </w:r>
      <w:r w:rsidR="00941FBF">
        <w:t>ých</w:t>
      </w:r>
      <w:r>
        <w:t xml:space="preserve"> tvar</w:t>
      </w:r>
      <w:r w:rsidR="00941FBF">
        <w:t>ů</w:t>
      </w:r>
      <w:r>
        <w:t xml:space="preserve"> zastaralého typu</w:t>
      </w:r>
      <w:r w:rsidR="0028606B">
        <w:t xml:space="preserve">, deformované svary, znečištěné štěrkové lože, </w:t>
      </w:r>
      <w:r>
        <w:t>nástupiště</w:t>
      </w:r>
      <w:r w:rsidR="00DD6D08">
        <w:t xml:space="preserve"> s hranou </w:t>
      </w:r>
      <w:proofErr w:type="spellStart"/>
      <w:r w:rsidR="00DD6D08">
        <w:t>Tischer</w:t>
      </w:r>
      <w:proofErr w:type="spellEnd"/>
      <w:r>
        <w:t>, dřevěné pražce</w:t>
      </w:r>
      <w:r w:rsidR="00E77A84">
        <w:t xml:space="preserve"> se sníženou držebností</w:t>
      </w:r>
      <w:r>
        <w:t>.</w:t>
      </w:r>
      <w:r w:rsidR="008B5A5B">
        <w:t xml:space="preserve"> </w:t>
      </w:r>
    </w:p>
    <w:p w14:paraId="64F6DB5D" w14:textId="77777777" w:rsidR="0028606B" w:rsidRPr="00025269" w:rsidRDefault="0028606B" w:rsidP="0028606B">
      <w:pPr>
        <w:jc w:val="both"/>
      </w:pPr>
    </w:p>
    <w:bookmarkEnd w:id="6"/>
    <w:bookmarkEnd w:id="7"/>
    <w:p w14:paraId="7A1577B1" w14:textId="669A4D23" w:rsidR="00DF7BAA" w:rsidRDefault="000F153A" w:rsidP="00495877">
      <w:pPr>
        <w:pStyle w:val="Nadpis2-1"/>
        <w:jc w:val="both"/>
      </w:pPr>
      <w:r w:rsidRPr="000F153A">
        <w:t>Požadované práce</w:t>
      </w:r>
    </w:p>
    <w:p w14:paraId="488E3452" w14:textId="583B64B0" w:rsidR="00DA1556" w:rsidRDefault="00DA1556" w:rsidP="00DA1556">
      <w:r w:rsidRPr="00AC30CC">
        <w:t>Objednatel požaduje, aby</w:t>
      </w:r>
      <w:r w:rsidR="00405835" w:rsidRPr="00AC30CC">
        <w:t xml:space="preserve"> zhotovitel v první etapě přípravy projektové dokumentace</w:t>
      </w:r>
      <w:r w:rsidR="000B0A81" w:rsidRPr="00AC30CC">
        <w:t xml:space="preserve"> (předložení návrhů)</w:t>
      </w:r>
      <w:r w:rsidRPr="00AC30CC">
        <w:t xml:space="preserve"> </w:t>
      </w:r>
      <w:r w:rsidR="00405835" w:rsidRPr="00AC30CC">
        <w:t>předložil pouze ty varianty technického řešení, které nezasah</w:t>
      </w:r>
      <w:r w:rsidR="0046559C" w:rsidRPr="00AC30CC">
        <w:t>ují do areálu depa Českých drah.</w:t>
      </w:r>
    </w:p>
    <w:p w14:paraId="26B00E1C" w14:textId="77777777" w:rsidR="003D4212" w:rsidRDefault="003D4212" w:rsidP="003D4212">
      <w:pPr>
        <w:spacing w:after="120"/>
      </w:pPr>
      <w:r>
        <w:t>V</w:t>
      </w:r>
      <w:r w:rsidRPr="00AC30CC">
        <w:t> první etapě přípravy projektové dokumentace</w:t>
      </w:r>
      <w:r>
        <w:t xml:space="preserve"> objednatel požaduje předložení:</w:t>
      </w:r>
    </w:p>
    <w:p w14:paraId="0466E520" w14:textId="4B207C7E" w:rsidR="003D4212" w:rsidRDefault="003D4212" w:rsidP="003D4212">
      <w:pPr>
        <w:spacing w:after="0"/>
      </w:pPr>
      <w:r>
        <w:t xml:space="preserve">- </w:t>
      </w:r>
      <w:r w:rsidR="001700B3">
        <w:t xml:space="preserve">návrhu </w:t>
      </w:r>
      <w:r>
        <w:t>schéma kolejiště,</w:t>
      </w:r>
    </w:p>
    <w:p w14:paraId="12BF2BB0" w14:textId="23CF6C16" w:rsidR="003D4212" w:rsidRPr="00AC30CC" w:rsidRDefault="003D4212" w:rsidP="003D4212">
      <w:r>
        <w:t>- zjednodušené situace kolejiště a nástupišť s řešením přístupu cestujících k nástupištím.</w:t>
      </w:r>
    </w:p>
    <w:p w14:paraId="78F7FACF" w14:textId="5521900C" w:rsidR="00405835" w:rsidRPr="00AC30CC" w:rsidRDefault="00405835" w:rsidP="00DA1556">
      <w:r w:rsidRPr="00AC30CC">
        <w:t>Dále objednatel požaduje, aby byly v návrhu zachovány 3 nástupištní hrany pro</w:t>
      </w:r>
      <w:r w:rsidR="0046559C" w:rsidRPr="00AC30CC">
        <w:t xml:space="preserve"> současný a</w:t>
      </w:r>
      <w:r w:rsidR="000B0A81" w:rsidRPr="00AC30CC">
        <w:t> </w:t>
      </w:r>
      <w:r w:rsidRPr="00AC30CC">
        <w:t>výhledový rozsah dopravy k pra</w:t>
      </w:r>
      <w:r w:rsidR="002E2C5F" w:rsidRPr="00AC30CC">
        <w:t>videlnému</w:t>
      </w:r>
      <w:r w:rsidRPr="00AC30CC">
        <w:t xml:space="preserve"> a mimořádnému </w:t>
      </w:r>
      <w:r w:rsidR="0046559C" w:rsidRPr="00AC30CC">
        <w:t>křižování vlaků, který</w:t>
      </w:r>
      <w:r w:rsidR="000B0A81" w:rsidRPr="00AC30CC">
        <w:t xml:space="preserve"> souvisí s </w:t>
      </w:r>
      <w:r w:rsidRPr="00AC30CC">
        <w:t xml:space="preserve">plánovaným zavedením nové linky Pardubice – </w:t>
      </w:r>
      <w:proofErr w:type="spellStart"/>
      <w:r w:rsidRPr="00AC30CC">
        <w:t>Wrocław</w:t>
      </w:r>
      <w:proofErr w:type="spellEnd"/>
      <w:r w:rsidRPr="00AC30CC">
        <w:t>.</w:t>
      </w:r>
    </w:p>
    <w:p w14:paraId="0EA62090" w14:textId="4947E2A8" w:rsidR="004E05B8" w:rsidRPr="00BE0D7C" w:rsidRDefault="004E05B8" w:rsidP="00DA1556">
      <w:pPr>
        <w:rPr>
          <w:u w:val="single"/>
        </w:rPr>
      </w:pPr>
      <w:r w:rsidRPr="00AC30CC">
        <w:rPr>
          <w:u w:val="single"/>
        </w:rPr>
        <w:t>Níže zadavatel uvádí požadav</w:t>
      </w:r>
      <w:r w:rsidR="00521204" w:rsidRPr="00AC30CC">
        <w:rPr>
          <w:u w:val="single"/>
        </w:rPr>
        <w:t>ky na opravu stávajícího stavu, umožňuje však variantní</w:t>
      </w:r>
      <w:r w:rsidR="00BE0D7C" w:rsidRPr="00AC30CC">
        <w:rPr>
          <w:u w:val="single"/>
        </w:rPr>
        <w:t xml:space="preserve"> řešení:</w:t>
      </w:r>
    </w:p>
    <w:p w14:paraId="0D219965" w14:textId="3B1D7BEC" w:rsidR="000F153A" w:rsidRPr="003D4212" w:rsidRDefault="00941FBF" w:rsidP="00424B39">
      <w:pPr>
        <w:pStyle w:val="Seznamsodrkami"/>
        <w:numPr>
          <w:ilvl w:val="0"/>
          <w:numId w:val="10"/>
        </w:numPr>
        <w:jc w:val="both"/>
        <w:rPr>
          <w:color w:val="000000" w:themeColor="text1"/>
        </w:rPr>
      </w:pPr>
      <w:r w:rsidRPr="003D4212">
        <w:rPr>
          <w:color w:val="000000" w:themeColor="text1"/>
        </w:rPr>
        <w:t>Náhrada stupňových výhybek</w:t>
      </w:r>
      <w:r w:rsidR="004E05B8" w:rsidRPr="003D4212">
        <w:rPr>
          <w:color w:val="000000" w:themeColor="text1"/>
        </w:rPr>
        <w:t xml:space="preserve"> č. 9, 11, 13, 14, 15, 17, 19</w:t>
      </w:r>
      <w:r w:rsidRPr="003D4212">
        <w:rPr>
          <w:color w:val="000000" w:themeColor="text1"/>
        </w:rPr>
        <w:t xml:space="preserve"> za poměrové</w:t>
      </w:r>
      <w:r w:rsidR="00AC30CC" w:rsidRPr="003D4212">
        <w:rPr>
          <w:color w:val="000000" w:themeColor="text1"/>
        </w:rPr>
        <w:t xml:space="preserve"> a sjednocení jejich ovládání</w:t>
      </w:r>
      <w:r w:rsidR="002E2B38" w:rsidRPr="003D4212">
        <w:rPr>
          <w:color w:val="000000" w:themeColor="text1"/>
        </w:rPr>
        <w:t xml:space="preserve"> na elek</w:t>
      </w:r>
      <w:r w:rsidR="009B0435">
        <w:rPr>
          <w:color w:val="000000" w:themeColor="text1"/>
        </w:rPr>
        <w:t>t</w:t>
      </w:r>
      <w:r w:rsidR="002E2B38" w:rsidRPr="003D4212">
        <w:rPr>
          <w:color w:val="000000" w:themeColor="text1"/>
        </w:rPr>
        <w:t>romotorické</w:t>
      </w:r>
      <w:r w:rsidR="004E05B8" w:rsidRPr="003D4212">
        <w:rPr>
          <w:color w:val="000000" w:themeColor="text1"/>
        </w:rPr>
        <w:t>.</w:t>
      </w:r>
      <w:r w:rsidR="003C5262" w:rsidRPr="003D4212">
        <w:rPr>
          <w:color w:val="000000" w:themeColor="text1"/>
        </w:rPr>
        <w:t xml:space="preserve"> </w:t>
      </w:r>
    </w:p>
    <w:p w14:paraId="3814B91A" w14:textId="63D7CA59" w:rsidR="00DA1556" w:rsidRPr="003D4212" w:rsidRDefault="00BF6CA4" w:rsidP="00DA1556">
      <w:pPr>
        <w:pStyle w:val="Seznamsodrkami"/>
        <w:numPr>
          <w:ilvl w:val="0"/>
          <w:numId w:val="10"/>
        </w:numPr>
        <w:jc w:val="both"/>
        <w:rPr>
          <w:color w:val="000000" w:themeColor="text1"/>
        </w:rPr>
      </w:pPr>
      <w:r w:rsidRPr="003D4212">
        <w:rPr>
          <w:color w:val="000000" w:themeColor="text1"/>
        </w:rPr>
        <w:t>Oprava kolejí č.</w:t>
      </w:r>
      <w:r w:rsidR="0069139E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1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</w:t>
      </w:r>
      <w:r w:rsidRPr="003D4212">
        <w:rPr>
          <w:color w:val="000000" w:themeColor="text1"/>
        </w:rPr>
        <w:t>270</w:t>
      </w:r>
      <w:r w:rsidR="0069139E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m</w:t>
      </w:r>
      <w:r w:rsidR="00B76DCD" w:rsidRPr="003D4212">
        <w:rPr>
          <w:color w:val="000000" w:themeColor="text1"/>
        </w:rPr>
        <w:t>)</w:t>
      </w:r>
      <w:r w:rsidRPr="003D4212">
        <w:rPr>
          <w:color w:val="000000" w:themeColor="text1"/>
        </w:rPr>
        <w:t>, č.</w:t>
      </w:r>
      <w:r w:rsidR="0069139E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3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</w:t>
      </w:r>
      <w:r w:rsidRPr="003D4212">
        <w:rPr>
          <w:color w:val="000000" w:themeColor="text1"/>
        </w:rPr>
        <w:t>220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m</w:t>
      </w:r>
      <w:r w:rsidR="00B76DCD" w:rsidRPr="003D4212">
        <w:rPr>
          <w:color w:val="000000" w:themeColor="text1"/>
        </w:rPr>
        <w:t>)</w:t>
      </w:r>
      <w:r w:rsidRPr="003D4212">
        <w:rPr>
          <w:color w:val="000000" w:themeColor="text1"/>
        </w:rPr>
        <w:t>, č.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3a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</w:t>
      </w:r>
      <w:r w:rsidRPr="003D4212">
        <w:rPr>
          <w:color w:val="000000" w:themeColor="text1"/>
        </w:rPr>
        <w:t>80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m</w:t>
      </w:r>
      <w:r w:rsidR="00B76DCD" w:rsidRPr="003D4212">
        <w:rPr>
          <w:color w:val="000000" w:themeColor="text1"/>
        </w:rPr>
        <w:t>)</w:t>
      </w:r>
      <w:r w:rsidRPr="003D4212">
        <w:rPr>
          <w:color w:val="000000" w:themeColor="text1"/>
        </w:rPr>
        <w:t>, č.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5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</w:t>
      </w:r>
      <w:r w:rsidRPr="003D4212">
        <w:rPr>
          <w:color w:val="000000" w:themeColor="text1"/>
        </w:rPr>
        <w:t>190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m</w:t>
      </w:r>
      <w:r w:rsidR="00B76DCD" w:rsidRPr="003D4212">
        <w:rPr>
          <w:color w:val="000000" w:themeColor="text1"/>
        </w:rPr>
        <w:t>)</w:t>
      </w:r>
      <w:r w:rsidRPr="003D4212">
        <w:rPr>
          <w:color w:val="000000" w:themeColor="text1"/>
        </w:rPr>
        <w:t>, č.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7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</w:t>
      </w:r>
      <w:r w:rsidRPr="003D4212">
        <w:rPr>
          <w:color w:val="000000" w:themeColor="text1"/>
        </w:rPr>
        <w:t>93</w:t>
      </w:r>
      <w:r w:rsidR="00DA1556" w:rsidRPr="003D4212">
        <w:rPr>
          <w:color w:val="000000" w:themeColor="text1"/>
        </w:rPr>
        <w:t xml:space="preserve"> </w:t>
      </w:r>
      <w:r w:rsidRPr="003D4212">
        <w:rPr>
          <w:color w:val="000000" w:themeColor="text1"/>
        </w:rPr>
        <w:t>m</w:t>
      </w:r>
      <w:r w:rsidR="00B76DCD" w:rsidRPr="003D4212">
        <w:rPr>
          <w:color w:val="000000" w:themeColor="text1"/>
        </w:rPr>
        <w:t>)</w:t>
      </w:r>
      <w:r w:rsidRPr="003D4212">
        <w:rPr>
          <w:color w:val="000000" w:themeColor="text1"/>
        </w:rPr>
        <w:t>, č.</w:t>
      </w:r>
      <w:r w:rsidR="00AC30CC" w:rsidRPr="003D4212">
        <w:rPr>
          <w:color w:val="000000" w:themeColor="text1"/>
        </w:rPr>
        <w:t> </w:t>
      </w:r>
      <w:r w:rsidR="00B76DCD" w:rsidRPr="003D4212">
        <w:rPr>
          <w:color w:val="000000" w:themeColor="text1"/>
        </w:rPr>
        <w:t>7b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(600</w:t>
      </w:r>
      <w:r w:rsidR="00DA1556" w:rsidRPr="003D4212">
        <w:rPr>
          <w:color w:val="000000" w:themeColor="text1"/>
        </w:rPr>
        <w:t xml:space="preserve"> </w:t>
      </w:r>
      <w:r w:rsidR="00B76DCD" w:rsidRPr="003D4212">
        <w:rPr>
          <w:color w:val="000000" w:themeColor="text1"/>
        </w:rPr>
        <w:t>m)</w:t>
      </w:r>
      <w:r w:rsidR="00DA1556" w:rsidRPr="003D4212">
        <w:rPr>
          <w:color w:val="000000" w:themeColor="text1"/>
        </w:rPr>
        <w:t>.</w:t>
      </w:r>
    </w:p>
    <w:p w14:paraId="7FBB89AF" w14:textId="7130BC0C" w:rsidR="00614D88" w:rsidRPr="003D4212" w:rsidRDefault="00AC30CC" w:rsidP="00DA1556">
      <w:pPr>
        <w:pStyle w:val="Seznamsodrkami"/>
        <w:numPr>
          <w:ilvl w:val="0"/>
          <w:numId w:val="10"/>
        </w:numPr>
        <w:jc w:val="both"/>
        <w:rPr>
          <w:color w:val="000000" w:themeColor="text1"/>
        </w:rPr>
      </w:pPr>
      <w:r w:rsidRPr="003D4212">
        <w:rPr>
          <w:color w:val="000000" w:themeColor="text1"/>
        </w:rPr>
        <w:t>Obnova</w:t>
      </w:r>
      <w:r w:rsidR="00DA1556" w:rsidRPr="003D4212">
        <w:rPr>
          <w:color w:val="000000" w:themeColor="text1"/>
        </w:rPr>
        <w:t xml:space="preserve"> d</w:t>
      </w:r>
      <w:r w:rsidR="00614D88" w:rsidRPr="003D4212">
        <w:rPr>
          <w:color w:val="000000" w:themeColor="text1"/>
        </w:rPr>
        <w:t>álkové</w:t>
      </w:r>
      <w:r w:rsidR="00DA1556" w:rsidRPr="003D4212">
        <w:rPr>
          <w:color w:val="000000" w:themeColor="text1"/>
        </w:rPr>
        <w:t>ho</w:t>
      </w:r>
      <w:r w:rsidR="00614D88" w:rsidRPr="003D4212">
        <w:rPr>
          <w:color w:val="000000" w:themeColor="text1"/>
        </w:rPr>
        <w:t xml:space="preserve"> ovládání </w:t>
      </w:r>
      <w:proofErr w:type="spellStart"/>
      <w:r w:rsidR="00614D88" w:rsidRPr="003D4212">
        <w:rPr>
          <w:color w:val="000000" w:themeColor="text1"/>
        </w:rPr>
        <w:t>výh</w:t>
      </w:r>
      <w:proofErr w:type="spellEnd"/>
      <w:r w:rsidR="00614D88" w:rsidRPr="003D4212">
        <w:rPr>
          <w:color w:val="000000" w:themeColor="text1"/>
        </w:rPr>
        <w:t>.</w:t>
      </w:r>
      <w:r w:rsidR="00DA1556" w:rsidRPr="003D4212">
        <w:rPr>
          <w:color w:val="000000" w:themeColor="text1"/>
        </w:rPr>
        <w:t xml:space="preserve"> </w:t>
      </w:r>
      <w:r w:rsidR="00614D88" w:rsidRPr="003D4212">
        <w:rPr>
          <w:color w:val="000000" w:themeColor="text1"/>
        </w:rPr>
        <w:t>č.</w:t>
      </w:r>
      <w:r w:rsidR="00DA1556" w:rsidRPr="003D4212">
        <w:rPr>
          <w:color w:val="000000" w:themeColor="text1"/>
        </w:rPr>
        <w:t xml:space="preserve"> </w:t>
      </w:r>
      <w:r w:rsidR="00614D88" w:rsidRPr="003D4212">
        <w:rPr>
          <w:color w:val="000000" w:themeColor="text1"/>
        </w:rPr>
        <w:t>22</w:t>
      </w:r>
      <w:r w:rsidR="00DA1556" w:rsidRPr="003D4212">
        <w:rPr>
          <w:color w:val="000000" w:themeColor="text1"/>
        </w:rPr>
        <w:t>.</w:t>
      </w:r>
    </w:p>
    <w:p w14:paraId="5D068145" w14:textId="2CA9FF9D" w:rsidR="000F153A" w:rsidRPr="00025269" w:rsidRDefault="00B10805" w:rsidP="00424B39">
      <w:pPr>
        <w:pStyle w:val="Seznamsodrkami"/>
        <w:numPr>
          <w:ilvl w:val="0"/>
          <w:numId w:val="10"/>
        </w:numPr>
        <w:jc w:val="both"/>
      </w:pPr>
      <w:r>
        <w:t>Výměna dřevěných pražců ve výhybkách</w:t>
      </w:r>
      <w:r w:rsidR="00DA1556">
        <w:t>.</w:t>
      </w:r>
    </w:p>
    <w:p w14:paraId="5D9A1C24" w14:textId="2F6D031F" w:rsidR="000F153A" w:rsidRPr="00025269" w:rsidRDefault="000F153A" w:rsidP="00424B39">
      <w:pPr>
        <w:pStyle w:val="Seznamsodrkami"/>
        <w:numPr>
          <w:ilvl w:val="0"/>
          <w:numId w:val="10"/>
        </w:numPr>
        <w:jc w:val="both"/>
      </w:pPr>
      <w:r>
        <w:t>Výměna</w:t>
      </w:r>
      <w:r w:rsidR="00DA1556">
        <w:t xml:space="preserve"> a čištění</w:t>
      </w:r>
      <w:r>
        <w:t xml:space="preserve"> štěrkového lože</w:t>
      </w:r>
      <w:r w:rsidR="00DA1556">
        <w:t>.</w:t>
      </w:r>
      <w:r>
        <w:t xml:space="preserve"> </w:t>
      </w:r>
    </w:p>
    <w:p w14:paraId="7C367661" w14:textId="75685847" w:rsidR="000F153A" w:rsidRPr="000F153A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 xml:space="preserve">Úprava GPK </w:t>
      </w:r>
      <w:proofErr w:type="spellStart"/>
      <w:r w:rsidRPr="00025269">
        <w:t>ASP</w:t>
      </w:r>
      <w:r w:rsidR="00941FBF">
        <w:t>v</w:t>
      </w:r>
      <w:proofErr w:type="spellEnd"/>
      <w:r w:rsidRPr="00025269">
        <w:t xml:space="preserve"> s dopln</w:t>
      </w:r>
      <w:r>
        <w:t>ěním a úpravou štěrkového lože</w:t>
      </w:r>
      <w:r w:rsidR="00DA1556">
        <w:t>.</w:t>
      </w:r>
    </w:p>
    <w:p w14:paraId="50685741" w14:textId="27A22489" w:rsidR="000F153A" w:rsidRPr="00FF2D74" w:rsidRDefault="00941FBF" w:rsidP="00424B39">
      <w:pPr>
        <w:pStyle w:val="Seznamsodrkami"/>
        <w:numPr>
          <w:ilvl w:val="0"/>
          <w:numId w:val="10"/>
        </w:numPr>
        <w:jc w:val="both"/>
      </w:pPr>
      <w:r w:rsidRPr="00FF2D74">
        <w:t>Montáž nástupišť</w:t>
      </w:r>
      <w:r w:rsidR="003C5262" w:rsidRPr="00FF2D74">
        <w:t xml:space="preserve"> typu SUDOP u kol.</w:t>
      </w:r>
      <w:r w:rsidR="00DA1556">
        <w:t xml:space="preserve"> </w:t>
      </w:r>
      <w:r w:rsidR="003C5262" w:rsidRPr="00FF2D74">
        <w:t>č.</w:t>
      </w:r>
      <w:r w:rsidR="00DA1556">
        <w:t xml:space="preserve"> </w:t>
      </w:r>
      <w:r w:rsidR="003C5262" w:rsidRPr="00FF2D74">
        <w:t>3 a č.</w:t>
      </w:r>
      <w:r w:rsidR="00DA1556">
        <w:t xml:space="preserve"> </w:t>
      </w:r>
      <w:r w:rsidR="003C5262" w:rsidRPr="00FF2D74">
        <w:t>5</w:t>
      </w:r>
      <w:r w:rsidR="00DA1556">
        <w:t>.</w:t>
      </w:r>
    </w:p>
    <w:p w14:paraId="4DE847BB" w14:textId="3EA910F1" w:rsidR="000F153A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lastRenderedPageBreak/>
        <w:t xml:space="preserve">Úprava </w:t>
      </w:r>
      <w:r w:rsidR="00941FBF">
        <w:t>stezek</w:t>
      </w:r>
      <w:r w:rsidR="003C5262">
        <w:t xml:space="preserve"> v nezbytném rozsahu</w:t>
      </w:r>
      <w:r w:rsidR="00DA1556">
        <w:t>.</w:t>
      </w:r>
    </w:p>
    <w:p w14:paraId="4EC1B0AC" w14:textId="1598905D" w:rsidR="00FF2D74" w:rsidRPr="00F717F6" w:rsidRDefault="00FF2D74" w:rsidP="00FF2D74">
      <w:pPr>
        <w:pStyle w:val="Seznamsodrkami"/>
        <w:numPr>
          <w:ilvl w:val="0"/>
          <w:numId w:val="10"/>
        </w:numPr>
        <w:jc w:val="both"/>
      </w:pPr>
      <w:r w:rsidRPr="00F717F6">
        <w:t>V místech opravy nad propustkem v km 90,603 a mo</w:t>
      </w:r>
      <w:r w:rsidR="00DA1556">
        <w:t>stu v km 90,740 musí být zvolena</w:t>
      </w:r>
      <w:r w:rsidRPr="00F717F6">
        <w:t xml:space="preserve"> taková technologie opravy, aby nepoškodila nosnou konstrukci obou objektů</w:t>
      </w:r>
    </w:p>
    <w:p w14:paraId="21CA4150" w14:textId="6540F501" w:rsidR="000F153A" w:rsidRPr="00025269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Provedení demontáže a roztřídění vyzískaného materiálu dle</w:t>
      </w:r>
      <w:r w:rsidR="0004124A">
        <w:t xml:space="preserve"> </w:t>
      </w:r>
      <w:r w:rsidRPr="00025269">
        <w:t xml:space="preserve">schválené </w:t>
      </w:r>
      <w:proofErr w:type="spellStart"/>
      <w:r w:rsidR="00DA1556">
        <w:t>před</w:t>
      </w:r>
      <w:r w:rsidR="007029E5" w:rsidRPr="00025269">
        <w:t>kategorizace</w:t>
      </w:r>
      <w:proofErr w:type="spellEnd"/>
      <w:r w:rsidR="00DA1556">
        <w:t xml:space="preserve"> a podle pokynů VPS</w:t>
      </w:r>
      <w:r w:rsidR="0004124A">
        <w:t xml:space="preserve"> Náchod</w:t>
      </w:r>
      <w:r w:rsidRPr="00025269">
        <w:t xml:space="preserve"> uložení na určené místo</w:t>
      </w:r>
      <w:r w:rsidR="00DA1556">
        <w:t>.</w:t>
      </w:r>
    </w:p>
    <w:p w14:paraId="67385CF9" w14:textId="01933D12" w:rsidR="000F153A" w:rsidRPr="00025269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Uložení výzisku + doklad</w:t>
      </w:r>
      <w:r w:rsidR="00DA1556">
        <w:t>.</w:t>
      </w:r>
    </w:p>
    <w:p w14:paraId="78539E29" w14:textId="1DC211FF" w:rsidR="000F153A" w:rsidRPr="00025269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Ekologická likv</w:t>
      </w:r>
      <w:r>
        <w:t>idace dřevěných pražců, pro SŽ</w:t>
      </w:r>
      <w:r w:rsidR="00DA1556">
        <w:t>,</w:t>
      </w:r>
      <w:r w:rsidRPr="00025269">
        <w:t xml:space="preserve"> s.</w:t>
      </w:r>
      <w:r w:rsidR="00DA1556">
        <w:t xml:space="preserve"> o. </w:t>
      </w:r>
      <w:r w:rsidRPr="00025269">
        <w:t>nepotřebných + doklad</w:t>
      </w:r>
      <w:r w:rsidR="00DA1556">
        <w:t>.</w:t>
      </w:r>
    </w:p>
    <w:p w14:paraId="3AE785B4" w14:textId="6B7A2293" w:rsidR="000F153A" w:rsidRPr="00025269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Ekologická likvidace vyzískaných polyetylenových a pryžových podložek + doklad</w:t>
      </w:r>
      <w:r w:rsidR="00DA1556">
        <w:t>.</w:t>
      </w:r>
    </w:p>
    <w:p w14:paraId="5F011924" w14:textId="38EE7E44" w:rsidR="000F153A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Vytyčení inženýrských sítí + dozor</w:t>
      </w:r>
      <w:r w:rsidR="00473134">
        <w:t>y</w:t>
      </w:r>
      <w:r w:rsidR="00DA1556">
        <w:t>.</w:t>
      </w:r>
    </w:p>
    <w:p w14:paraId="4602F384" w14:textId="518FCC5F" w:rsidR="003C5262" w:rsidRPr="00025269" w:rsidRDefault="003C5262" w:rsidP="00424B39">
      <w:pPr>
        <w:pStyle w:val="Seznamsodrkami"/>
        <w:numPr>
          <w:ilvl w:val="0"/>
          <w:numId w:val="10"/>
        </w:numPr>
        <w:jc w:val="both"/>
      </w:pPr>
      <w:r>
        <w:t>Zrušení chráničky drátovodu z beton.</w:t>
      </w:r>
      <w:r w:rsidR="00DA1556">
        <w:t xml:space="preserve"> </w:t>
      </w:r>
      <w:r>
        <w:t>dílců podél kol.č.9b</w:t>
      </w:r>
      <w:r w:rsidR="00DA1556">
        <w:t>.</w:t>
      </w:r>
    </w:p>
    <w:p w14:paraId="482E503F" w14:textId="790A99F8" w:rsidR="000F153A" w:rsidRDefault="000F153A" w:rsidP="00424B39">
      <w:pPr>
        <w:pStyle w:val="Seznamsodrkami"/>
        <w:numPr>
          <w:ilvl w:val="0"/>
          <w:numId w:val="10"/>
        </w:numPr>
        <w:jc w:val="both"/>
      </w:pPr>
      <w:r w:rsidRPr="00025269">
        <w:t>Nezadatelné práce SSZT, SEE, SMT a Telematiky</w:t>
      </w:r>
    </w:p>
    <w:p w14:paraId="38D30089" w14:textId="77777777" w:rsidR="00B92546" w:rsidRPr="00E16948" w:rsidRDefault="00B92546" w:rsidP="00B92546">
      <w:pPr>
        <w:pStyle w:val="Seznamsodrkami"/>
        <w:ind w:left="927"/>
        <w:jc w:val="both"/>
        <w:rPr>
          <w:highlight w:val="yellow"/>
        </w:rPr>
      </w:pPr>
    </w:p>
    <w:p w14:paraId="067040D8" w14:textId="77777777" w:rsidR="00315A0C" w:rsidRPr="00025269" w:rsidRDefault="00315A0C" w:rsidP="00315A0C">
      <w:pPr>
        <w:pStyle w:val="Seznamsodrkami"/>
        <w:ind w:left="927"/>
        <w:jc w:val="both"/>
      </w:pPr>
    </w:p>
    <w:p w14:paraId="4029A7D2" w14:textId="16306EFF" w:rsidR="00315A0C" w:rsidRDefault="00315A0C" w:rsidP="00315A0C">
      <w:pPr>
        <w:pStyle w:val="Nadpis2-1"/>
        <w:jc w:val="both"/>
      </w:pPr>
      <w:r>
        <w:t>Výluky</w:t>
      </w:r>
    </w:p>
    <w:p w14:paraId="432E60EF" w14:textId="7698AB53" w:rsidR="00315A0C" w:rsidRPr="00B26FCF" w:rsidRDefault="00315A0C" w:rsidP="00315A0C">
      <w:pPr>
        <w:jc w:val="both"/>
      </w:pPr>
      <w:r w:rsidRPr="00C22D01">
        <w:t>Předpokládaná realizace</w:t>
      </w:r>
      <w:r>
        <w:t xml:space="preserve"> opravné práce</w:t>
      </w:r>
      <w:r w:rsidRPr="00C22D01">
        <w:t xml:space="preserve">: </w:t>
      </w:r>
      <w:r>
        <w:t>rok 2024</w:t>
      </w:r>
      <w:r w:rsidRPr="001C2E81">
        <w:tab/>
      </w:r>
      <w:r w:rsidRPr="00B26FCF">
        <w:t xml:space="preserve">                                                           </w:t>
      </w:r>
    </w:p>
    <w:p w14:paraId="65498BF9" w14:textId="557EEB2B" w:rsidR="00315A0C" w:rsidRPr="00B26FCF" w:rsidRDefault="00315A0C" w:rsidP="00315A0C">
      <w:pPr>
        <w:jc w:val="both"/>
      </w:pPr>
      <w:r w:rsidRPr="00B26FCF">
        <w:t>Všechny práce vyžadujíc</w:t>
      </w:r>
      <w:r>
        <w:t>í výluky budou provedeny v termí</w:t>
      </w:r>
      <w:r w:rsidRPr="00B26FCF">
        <w:t>nech stanovených S</w:t>
      </w:r>
      <w:r>
        <w:t>právou</w:t>
      </w:r>
      <w:r w:rsidR="00E16FEF">
        <w:t> </w:t>
      </w:r>
      <w:r>
        <w:t>železnic</w:t>
      </w:r>
      <w:r w:rsidR="008B5A5B">
        <w:t>,</w:t>
      </w:r>
      <w:r w:rsidR="00EC38D1">
        <w:t> </w:t>
      </w:r>
      <w:r>
        <w:t>s.</w:t>
      </w:r>
      <w:r w:rsidR="00E16FEF">
        <w:t> </w:t>
      </w:r>
      <w:r>
        <w:t>o.</w:t>
      </w:r>
      <w:r w:rsidR="00DA1556">
        <w:t xml:space="preserve"> v</w:t>
      </w:r>
      <w:r w:rsidRPr="00B26FCF">
        <w:t xml:space="preserve"> délkách dle výlukových rozkazů.</w:t>
      </w:r>
    </w:p>
    <w:p w14:paraId="6D70B5AE" w14:textId="77777777" w:rsidR="00315A0C" w:rsidRPr="00315A0C" w:rsidRDefault="00315A0C" w:rsidP="00315A0C"/>
    <w:p w14:paraId="37FD1101" w14:textId="78764D65" w:rsidR="00315A0C" w:rsidRDefault="006F2C95" w:rsidP="00315A0C">
      <w:pPr>
        <w:pStyle w:val="Nadpis2-1"/>
        <w:jc w:val="both"/>
      </w:pPr>
      <w:r>
        <w:t>Staveniště</w:t>
      </w:r>
    </w:p>
    <w:p w14:paraId="23700C99" w14:textId="77777777" w:rsidR="006F2C95" w:rsidRPr="00B26FCF" w:rsidRDefault="006F2C95" w:rsidP="006F2C95">
      <w:pPr>
        <w:jc w:val="both"/>
      </w:pPr>
      <w:r w:rsidRPr="00B26FCF">
        <w:t>Stavba včetně zařízení je u</w:t>
      </w:r>
      <w:r>
        <w:t>místěna na pozemcích Správy železnic, s. o</w:t>
      </w:r>
      <w:r w:rsidRPr="00B26FCF">
        <w:t>. Případný zábor soukromých pozemků s jejich majiteli, případně nájemci si projedná a zajistí zhotovitel díla (opravných prací). Nejpozději do 30 dnů po odevzdání a převzetí díla je zhotovitel povinen zcela vyklidit staveniště. Po odstranění případných závad a drobných nedodělků je povinen vyklidit staveniště do 15 dnů. Po vyklizení staveniště je zhotovitel díla (opravných prací) povinen tento prostor řádně upravit.</w:t>
      </w:r>
    </w:p>
    <w:p w14:paraId="0D37FD2A" w14:textId="71C3B919" w:rsidR="006F2C95" w:rsidRDefault="006F2C95" w:rsidP="006F2C95"/>
    <w:p w14:paraId="7CA0D99B" w14:textId="52553790" w:rsidR="006F2C95" w:rsidRDefault="006F2C95" w:rsidP="006F2C95">
      <w:pPr>
        <w:pStyle w:val="Nadpis2-1"/>
        <w:jc w:val="both"/>
      </w:pPr>
      <w:r>
        <w:t xml:space="preserve">ZÁRUKY </w:t>
      </w:r>
    </w:p>
    <w:p w14:paraId="0971DE7F" w14:textId="77777777" w:rsidR="00A36E16" w:rsidRPr="00B26FCF" w:rsidRDefault="00A36E16" w:rsidP="00A36E16">
      <w:pPr>
        <w:jc w:val="both"/>
      </w:pPr>
      <w:r w:rsidRPr="00B26FCF">
        <w:t>Zadavatelem jsou požadovány následující minimální záruky:</w:t>
      </w:r>
    </w:p>
    <w:p w14:paraId="70715F23" w14:textId="77777777" w:rsidR="00A36E16" w:rsidRPr="00B26FCF" w:rsidRDefault="00A36E16" w:rsidP="00A36E16">
      <w:pPr>
        <w:pStyle w:val="Seznamsodrkami"/>
        <w:numPr>
          <w:ilvl w:val="0"/>
          <w:numId w:val="10"/>
        </w:numPr>
        <w:jc w:val="both"/>
      </w:pPr>
      <w:r w:rsidRPr="00B26FCF">
        <w:t xml:space="preserve">projekt </w:t>
      </w:r>
      <w:r>
        <w:t>………</w:t>
      </w:r>
      <w:r w:rsidRPr="00B26FCF">
        <w:t>………………………………………60 měsíců</w:t>
      </w:r>
    </w:p>
    <w:p w14:paraId="2A41658E" w14:textId="74D1E4C8" w:rsidR="006F2C95" w:rsidRDefault="006F2C95" w:rsidP="006F2C95"/>
    <w:p w14:paraId="66EDB7D9" w14:textId="0B10E1D4" w:rsidR="006F2C95" w:rsidRDefault="006F2C95" w:rsidP="006F2C95">
      <w:pPr>
        <w:pStyle w:val="Nadpis2-1"/>
        <w:jc w:val="both"/>
      </w:pPr>
      <w:r w:rsidRPr="006F2C95">
        <w:t>Při předání a převzetí dok. stavby předloží zhotovitel tyto doklady</w:t>
      </w:r>
      <w:r>
        <w:t xml:space="preserve"> </w:t>
      </w:r>
    </w:p>
    <w:p w14:paraId="70162A96" w14:textId="37D2693D" w:rsidR="00A36E16" w:rsidRPr="00B26FCF" w:rsidRDefault="00A36E16" w:rsidP="00A36E16">
      <w:pPr>
        <w:pStyle w:val="Seznamsodrkami"/>
        <w:numPr>
          <w:ilvl w:val="0"/>
          <w:numId w:val="10"/>
        </w:numPr>
        <w:jc w:val="both"/>
      </w:pPr>
      <w:r w:rsidRPr="00B26FCF">
        <w:t>dokumenty vyplývající z Technických kvalitativních podmínek staveb státních drah a</w:t>
      </w:r>
      <w:r w:rsidR="00E16FEF">
        <w:t> </w:t>
      </w:r>
      <w:r w:rsidRPr="00B26FCF">
        <w:t>předpisu SŽ S3/1</w:t>
      </w:r>
    </w:p>
    <w:p w14:paraId="1D6CA47F" w14:textId="77777777" w:rsidR="00A36E16" w:rsidRPr="00B26FCF" w:rsidRDefault="00A36E16" w:rsidP="00A36E16">
      <w:pPr>
        <w:pStyle w:val="Seznamsodrkami"/>
        <w:numPr>
          <w:ilvl w:val="0"/>
          <w:numId w:val="10"/>
        </w:numPr>
        <w:jc w:val="both"/>
      </w:pPr>
      <w:r w:rsidRPr="00B26FCF">
        <w:t>podklady pro vypracování podkladů pro pasportní evidenci</w:t>
      </w:r>
    </w:p>
    <w:p w14:paraId="6BEF541B" w14:textId="77777777" w:rsidR="00A36E16" w:rsidRPr="00B26FCF" w:rsidRDefault="00A36E16" w:rsidP="00A36E16">
      <w:pPr>
        <w:pStyle w:val="Seznamsodrkami"/>
        <w:numPr>
          <w:ilvl w:val="0"/>
          <w:numId w:val="10"/>
        </w:numPr>
        <w:jc w:val="both"/>
      </w:pPr>
      <w:r w:rsidRPr="00B26FCF">
        <w:t xml:space="preserve">měření GPK </w:t>
      </w:r>
    </w:p>
    <w:p w14:paraId="577A83F2" w14:textId="77777777" w:rsidR="00A36E16" w:rsidRPr="00F717F6" w:rsidRDefault="00A36E16" w:rsidP="00A36E16">
      <w:pPr>
        <w:pStyle w:val="Seznamsodrkami"/>
        <w:numPr>
          <w:ilvl w:val="0"/>
          <w:numId w:val="10"/>
        </w:numPr>
        <w:jc w:val="both"/>
      </w:pPr>
      <w:r w:rsidRPr="00F717F6">
        <w:t>dokumentaci skutečného provedení stavby (2 listinná vyhotovení a 1 digitální vyhotovení)</w:t>
      </w:r>
    </w:p>
    <w:p w14:paraId="2136EB17" w14:textId="25DCBCA9" w:rsidR="00A36E16" w:rsidRDefault="00A36E16" w:rsidP="006F2C95"/>
    <w:p w14:paraId="63EA640A" w14:textId="41D85C5C" w:rsidR="006F2C95" w:rsidRDefault="006F2C95" w:rsidP="006F2C95">
      <w:pPr>
        <w:pStyle w:val="Nadpis2-1"/>
        <w:jc w:val="both"/>
      </w:pPr>
      <w:r w:rsidRPr="006F2C95">
        <w:lastRenderedPageBreak/>
        <w:t>Materiálové zajištění</w:t>
      </w:r>
    </w:p>
    <w:p w14:paraId="57921612" w14:textId="5511576D" w:rsidR="00A36E16" w:rsidRPr="00A17C3D" w:rsidRDefault="00A36E16" w:rsidP="00A36E16">
      <w:pPr>
        <w:jc w:val="both"/>
      </w:pPr>
      <w:r w:rsidRPr="00A17C3D">
        <w:t xml:space="preserve">Objednatel: </w:t>
      </w:r>
      <w:r w:rsidR="00C14A5E">
        <w:t>poměrové výhybky, kolejnice, pražce</w:t>
      </w:r>
      <w:r w:rsidR="00EC38D1" w:rsidRPr="00A17C3D">
        <w:t>.</w:t>
      </w:r>
    </w:p>
    <w:p w14:paraId="1A6588E2" w14:textId="637FA739" w:rsidR="00A36E16" w:rsidRPr="00A17C3D" w:rsidRDefault="00A36E16" w:rsidP="00A36E16">
      <w:pPr>
        <w:jc w:val="both"/>
      </w:pPr>
      <w:r w:rsidRPr="00A17C3D">
        <w:t>Zhotovitel: ostatní potřebný materiál.</w:t>
      </w:r>
    </w:p>
    <w:p w14:paraId="58DAEE6B" w14:textId="57D6B2AF" w:rsidR="00A36E16" w:rsidRDefault="00A36E16" w:rsidP="006F2C95">
      <w:pPr>
        <w:rPr>
          <w:b/>
          <w:caps/>
          <w:sz w:val="22"/>
        </w:rPr>
      </w:pPr>
    </w:p>
    <w:p w14:paraId="76BF79FF" w14:textId="2DA9C403" w:rsidR="006F2C95" w:rsidRPr="006F2C95" w:rsidRDefault="006F2C95" w:rsidP="006F2C95">
      <w:pPr>
        <w:pStyle w:val="Nadpis2-1"/>
        <w:jc w:val="both"/>
      </w:pPr>
      <w:r w:rsidRPr="006F2C95">
        <w:t>Geodetické podklady</w:t>
      </w:r>
    </w:p>
    <w:p w14:paraId="0D5F4216" w14:textId="77777777" w:rsidR="00A36E16" w:rsidRPr="00B26FCF" w:rsidRDefault="00A36E16" w:rsidP="00A36E16">
      <w:pPr>
        <w:jc w:val="both"/>
      </w:pPr>
      <w:r w:rsidRPr="00B26FCF">
        <w:t xml:space="preserve">Vypracovaná projektová dokumentace bude navázána na bodové pole SŽG. Pro převzetí podkladů bude nutno kontaktovat Ing. </w:t>
      </w:r>
      <w:proofErr w:type="spellStart"/>
      <w:r w:rsidRPr="00B26FCF">
        <w:t>Fikejze</w:t>
      </w:r>
      <w:proofErr w:type="spellEnd"/>
      <w:r w:rsidRPr="00B26FCF">
        <w:t>, SŽG Praha, tel. 606 682 497.</w:t>
      </w:r>
    </w:p>
    <w:p w14:paraId="6D771B26" w14:textId="3660CC45" w:rsidR="00DF7BAA" w:rsidRDefault="00DF7BAA" w:rsidP="00495877">
      <w:pPr>
        <w:pStyle w:val="Nadpis2-1"/>
        <w:jc w:val="both"/>
      </w:pPr>
      <w:bookmarkStart w:id="8" w:name="_Toc6410462"/>
      <w:bookmarkStart w:id="9" w:name="_Toc64963035"/>
      <w:r>
        <w:t>PŘÍLOHY</w:t>
      </w:r>
      <w:bookmarkEnd w:id="8"/>
      <w:bookmarkEnd w:id="9"/>
      <w:r w:rsidR="00947B9D">
        <w:t xml:space="preserve"> </w:t>
      </w:r>
    </w:p>
    <w:bookmarkEnd w:id="1"/>
    <w:bookmarkEnd w:id="2"/>
    <w:bookmarkEnd w:id="3"/>
    <w:bookmarkEnd w:id="4"/>
    <w:bookmarkEnd w:id="5"/>
    <w:p w14:paraId="7EED7B14" w14:textId="09E72D9D" w:rsidR="00A36E16" w:rsidRPr="00164819" w:rsidRDefault="00A36E16" w:rsidP="00A36E16">
      <w:pPr>
        <w:pStyle w:val="Nadpis2-2"/>
        <w:numPr>
          <w:ilvl w:val="0"/>
          <w:numId w:val="0"/>
        </w:numPr>
        <w:spacing w:before="0"/>
        <w:rPr>
          <w:b w:val="0"/>
          <w:sz w:val="18"/>
        </w:rPr>
      </w:pPr>
      <w:r w:rsidRPr="00164819">
        <w:rPr>
          <w:b w:val="0"/>
          <w:sz w:val="18"/>
        </w:rPr>
        <w:t xml:space="preserve">Příloha 1 – </w:t>
      </w:r>
      <w:r w:rsidR="00681960">
        <w:rPr>
          <w:b w:val="0"/>
          <w:sz w:val="18"/>
        </w:rPr>
        <w:t>Tabulka výhybek v žst. Meziměstí</w:t>
      </w:r>
    </w:p>
    <w:p w14:paraId="55D2127E" w14:textId="70581E4F" w:rsidR="00A36E16" w:rsidRDefault="00A36E16" w:rsidP="00681960">
      <w:pPr>
        <w:pStyle w:val="Nadpis2-2"/>
        <w:numPr>
          <w:ilvl w:val="0"/>
          <w:numId w:val="0"/>
        </w:numPr>
        <w:spacing w:before="0"/>
        <w:ind w:left="737" w:hanging="737"/>
        <w:rPr>
          <w:b w:val="0"/>
          <w:sz w:val="18"/>
        </w:rPr>
      </w:pPr>
      <w:r w:rsidRPr="00164819">
        <w:rPr>
          <w:b w:val="0"/>
          <w:sz w:val="18"/>
        </w:rPr>
        <w:t xml:space="preserve">Příloha 2 – </w:t>
      </w:r>
      <w:r w:rsidR="00681960">
        <w:rPr>
          <w:b w:val="0"/>
          <w:sz w:val="18"/>
        </w:rPr>
        <w:t>Staniční plán</w:t>
      </w:r>
    </w:p>
    <w:p w14:paraId="2464CAB4" w14:textId="4749A111" w:rsidR="00681960" w:rsidRPr="00681960" w:rsidRDefault="00681960" w:rsidP="00681960">
      <w:r>
        <w:t>Příloha 3 – Přehled o nástupištích</w:t>
      </w:r>
    </w:p>
    <w:p w14:paraId="16493E21" w14:textId="77777777" w:rsidR="00A36E16" w:rsidRDefault="00A36E16" w:rsidP="00A36E16"/>
    <w:sectPr w:rsidR="00A36E16" w:rsidSect="002E74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CE313" w14:textId="77777777" w:rsidR="00F577F2" w:rsidRDefault="00F577F2" w:rsidP="00962258">
      <w:pPr>
        <w:spacing w:after="0" w:line="240" w:lineRule="auto"/>
      </w:pPr>
      <w:r>
        <w:separator/>
      </w:r>
    </w:p>
  </w:endnote>
  <w:endnote w:type="continuationSeparator" w:id="0">
    <w:p w14:paraId="2E05CC26" w14:textId="77777777" w:rsidR="00F577F2" w:rsidRDefault="00F577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1B771317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700B3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F361FE">
            <w:rPr>
              <w:rStyle w:val="slostrnky"/>
              <w:noProof/>
            </w:rPr>
            <w:t>4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7835AEA2" w14:textId="7BF61A15" w:rsidR="00B0334A" w:rsidRPr="007029E5" w:rsidRDefault="00F577F2" w:rsidP="003462EB">
          <w:pPr>
            <w:pStyle w:val="Zpatvlevo"/>
          </w:pPr>
          <w:fldSimple w:instr=" STYLEREF  _Název_akce  \* MERGEFORMAT ">
            <w:r w:rsidR="00F361FE">
              <w:rPr>
                <w:noProof/>
              </w:rPr>
              <w:t>Oprava kolejí a výhybek v žst. Meziměstí</w:t>
            </w:r>
            <w:r w:rsidR="00F361FE">
              <w:rPr>
                <w:noProof/>
              </w:rPr>
              <w:cr/>
            </w:r>
          </w:fldSimple>
          <w:r w:rsidR="00B0334A" w:rsidRPr="007029E5">
            <w:t xml:space="preserve">Příloha č. 2 c) </w:t>
          </w:r>
        </w:p>
        <w:p w14:paraId="3E796A3F" w14:textId="58CB71C5" w:rsidR="00B0334A" w:rsidRPr="006A10C4" w:rsidRDefault="0025520C" w:rsidP="00DF7BAA">
          <w:pPr>
            <w:pStyle w:val="Zpatvlevo"/>
          </w:pPr>
          <w:r w:rsidRPr="007029E5"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361FE" w:rsidRPr="006A10C4" w14:paraId="78D87018" w14:textId="77777777" w:rsidTr="00BF5BD5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2A7A2BA" w14:textId="00E1EC16" w:rsidR="00F361FE" w:rsidRPr="006A10C4" w:rsidRDefault="00F361FE" w:rsidP="00F361FE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FA65A7E" w14:textId="60249F3D" w:rsidR="00F361FE" w:rsidRPr="006A10C4" w:rsidRDefault="00F361FE" w:rsidP="00F361FE">
          <w:pPr>
            <w:pStyle w:val="Zpatvlevo"/>
          </w:pPr>
          <w:r w:rsidRPr="00F361FE">
            <w:fldChar w:fldCharType="begin"/>
          </w:r>
          <w:r w:rsidRPr="00F361FE">
            <w:instrText xml:space="preserve"> STYLEREF  _Název_akce  \* MERGEFORMAT </w:instrText>
          </w:r>
          <w:r w:rsidRPr="00F361FE">
            <w:fldChar w:fldCharType="separate"/>
          </w:r>
          <w:r>
            <w:rPr>
              <w:noProof/>
            </w:rPr>
            <w:t>Oprava kolejí a výhybek v žst. Meziměstí</w:t>
          </w:r>
          <w:r>
            <w:rPr>
              <w:noProof/>
            </w:rPr>
            <w:cr/>
          </w:r>
          <w:r w:rsidRPr="00F361FE">
            <w:rPr>
              <w:noProof/>
            </w:rPr>
            <w:fldChar w:fldCharType="end"/>
          </w:r>
          <w:r w:rsidRPr="00F361FE">
            <w:t>Příloha č. 2 c)</w:t>
          </w:r>
          <w:r w:rsidRPr="006A10C4">
            <w:t xml:space="preserve"> </w:t>
          </w:r>
        </w:p>
        <w:p w14:paraId="4BEA5C01" w14:textId="77777777" w:rsidR="00F361FE" w:rsidRPr="006A10C4" w:rsidRDefault="00F361FE" w:rsidP="00F361FE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265348C6" w14:textId="77777777" w:rsidR="00F361FE" w:rsidRPr="00F361FE" w:rsidRDefault="00F361FE" w:rsidP="00F361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50C53" w14:textId="77777777" w:rsidR="00F577F2" w:rsidRDefault="00F577F2" w:rsidP="00962258">
      <w:pPr>
        <w:spacing w:after="0" w:line="240" w:lineRule="auto"/>
      </w:pPr>
      <w:r>
        <w:separator/>
      </w:r>
    </w:p>
  </w:footnote>
  <w:footnote w:type="continuationSeparator" w:id="0">
    <w:p w14:paraId="627ED715" w14:textId="77777777" w:rsidR="00F577F2" w:rsidRDefault="00F577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446"/>
        </w:tabs>
        <w:ind w:left="1446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12A7B"/>
    <w:multiLevelType w:val="hybridMultilevel"/>
    <w:tmpl w:val="904AF8B2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699684">
    <w:abstractNumId w:val="4"/>
  </w:num>
  <w:num w:numId="2" w16cid:durableId="344481440">
    <w:abstractNumId w:val="2"/>
  </w:num>
  <w:num w:numId="3" w16cid:durableId="1439253231">
    <w:abstractNumId w:val="7"/>
  </w:num>
  <w:num w:numId="4" w16cid:durableId="1278685261">
    <w:abstractNumId w:val="8"/>
  </w:num>
  <w:num w:numId="5" w16cid:durableId="1772700819">
    <w:abstractNumId w:val="9"/>
  </w:num>
  <w:num w:numId="6" w16cid:durableId="649754988">
    <w:abstractNumId w:val="0"/>
  </w:num>
  <w:num w:numId="7" w16cid:durableId="998969581">
    <w:abstractNumId w:val="3"/>
  </w:num>
  <w:num w:numId="8" w16cid:durableId="1896230952">
    <w:abstractNumId w:val="11"/>
  </w:num>
  <w:num w:numId="9" w16cid:durableId="781807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0450319">
    <w:abstractNumId w:val="6"/>
  </w:num>
  <w:num w:numId="11" w16cid:durableId="159781286">
    <w:abstractNumId w:val="3"/>
  </w:num>
  <w:num w:numId="12" w16cid:durableId="387190548">
    <w:abstractNumId w:val="10"/>
  </w:num>
  <w:num w:numId="13" w16cid:durableId="1990666995">
    <w:abstractNumId w:val="1"/>
  </w:num>
  <w:num w:numId="14" w16cid:durableId="43046732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12EC4"/>
    <w:rsid w:val="0001305D"/>
    <w:rsid w:val="000145C8"/>
    <w:rsid w:val="00017F3C"/>
    <w:rsid w:val="0004124A"/>
    <w:rsid w:val="00041EC8"/>
    <w:rsid w:val="00042864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6B14"/>
    <w:rsid w:val="0008461A"/>
    <w:rsid w:val="00084867"/>
    <w:rsid w:val="000A2B28"/>
    <w:rsid w:val="000A6E75"/>
    <w:rsid w:val="000B0A81"/>
    <w:rsid w:val="000B408F"/>
    <w:rsid w:val="000B4899"/>
    <w:rsid w:val="000B4EB8"/>
    <w:rsid w:val="000C41F2"/>
    <w:rsid w:val="000D22C4"/>
    <w:rsid w:val="000D27D1"/>
    <w:rsid w:val="000E1A7F"/>
    <w:rsid w:val="000F153A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56A2"/>
    <w:rsid w:val="001700B3"/>
    <w:rsid w:val="00170EC5"/>
    <w:rsid w:val="001747C1"/>
    <w:rsid w:val="00177D6B"/>
    <w:rsid w:val="00182C19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20EC6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61A5B"/>
    <w:rsid w:val="00262E5B"/>
    <w:rsid w:val="00264D52"/>
    <w:rsid w:val="00267DE4"/>
    <w:rsid w:val="002735BE"/>
    <w:rsid w:val="00276AFE"/>
    <w:rsid w:val="0028606B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2B38"/>
    <w:rsid w:val="002E2C5F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15A0C"/>
    <w:rsid w:val="003160B2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375E"/>
    <w:rsid w:val="0036531E"/>
    <w:rsid w:val="00366604"/>
    <w:rsid w:val="00373D53"/>
    <w:rsid w:val="003749B2"/>
    <w:rsid w:val="0037545D"/>
    <w:rsid w:val="00376246"/>
    <w:rsid w:val="00377F85"/>
    <w:rsid w:val="003852A6"/>
    <w:rsid w:val="00386FF1"/>
    <w:rsid w:val="00392EB6"/>
    <w:rsid w:val="003956C6"/>
    <w:rsid w:val="00396B4E"/>
    <w:rsid w:val="003A5E43"/>
    <w:rsid w:val="003A6F97"/>
    <w:rsid w:val="003B111D"/>
    <w:rsid w:val="003B12E3"/>
    <w:rsid w:val="003B70B2"/>
    <w:rsid w:val="003C33F2"/>
    <w:rsid w:val="003C5262"/>
    <w:rsid w:val="003C6679"/>
    <w:rsid w:val="003D4212"/>
    <w:rsid w:val="003D4F68"/>
    <w:rsid w:val="003D756E"/>
    <w:rsid w:val="003D7905"/>
    <w:rsid w:val="003E420D"/>
    <w:rsid w:val="003E4C13"/>
    <w:rsid w:val="003E567C"/>
    <w:rsid w:val="003F186F"/>
    <w:rsid w:val="003F5EF6"/>
    <w:rsid w:val="00405835"/>
    <w:rsid w:val="004078F3"/>
    <w:rsid w:val="00424A5E"/>
    <w:rsid w:val="00424B39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6559C"/>
    <w:rsid w:val="004666D1"/>
    <w:rsid w:val="004718B1"/>
    <w:rsid w:val="00473134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05B8"/>
    <w:rsid w:val="004E7A1F"/>
    <w:rsid w:val="004F4B9B"/>
    <w:rsid w:val="004F70CD"/>
    <w:rsid w:val="00500C8E"/>
    <w:rsid w:val="00503B49"/>
    <w:rsid w:val="0050666E"/>
    <w:rsid w:val="00511AB9"/>
    <w:rsid w:val="005172C5"/>
    <w:rsid w:val="00521204"/>
    <w:rsid w:val="00523BB5"/>
    <w:rsid w:val="00523EA7"/>
    <w:rsid w:val="00531CB9"/>
    <w:rsid w:val="005368E0"/>
    <w:rsid w:val="005403D3"/>
    <w:rsid w:val="005406EB"/>
    <w:rsid w:val="00544296"/>
    <w:rsid w:val="00545AD1"/>
    <w:rsid w:val="00546E43"/>
    <w:rsid w:val="00553375"/>
    <w:rsid w:val="005551B1"/>
    <w:rsid w:val="00555884"/>
    <w:rsid w:val="0057146C"/>
    <w:rsid w:val="005736B7"/>
    <w:rsid w:val="00575E5A"/>
    <w:rsid w:val="00576A07"/>
    <w:rsid w:val="00580245"/>
    <w:rsid w:val="00586EF3"/>
    <w:rsid w:val="0058742A"/>
    <w:rsid w:val="00590B8A"/>
    <w:rsid w:val="0059333D"/>
    <w:rsid w:val="005A0AB5"/>
    <w:rsid w:val="005A1F44"/>
    <w:rsid w:val="005A3F85"/>
    <w:rsid w:val="005A7DBF"/>
    <w:rsid w:val="005B3728"/>
    <w:rsid w:val="005C5372"/>
    <w:rsid w:val="005D3C39"/>
    <w:rsid w:val="005D7706"/>
    <w:rsid w:val="005E6869"/>
    <w:rsid w:val="005F084B"/>
    <w:rsid w:val="005F0E69"/>
    <w:rsid w:val="00601A8C"/>
    <w:rsid w:val="00602ABC"/>
    <w:rsid w:val="0061068E"/>
    <w:rsid w:val="00610886"/>
    <w:rsid w:val="006115D3"/>
    <w:rsid w:val="006130DC"/>
    <w:rsid w:val="006149D2"/>
    <w:rsid w:val="00614D88"/>
    <w:rsid w:val="00614E71"/>
    <w:rsid w:val="006208DF"/>
    <w:rsid w:val="006239D3"/>
    <w:rsid w:val="006324BE"/>
    <w:rsid w:val="0065584E"/>
    <w:rsid w:val="00655976"/>
    <w:rsid w:val="0065610E"/>
    <w:rsid w:val="00660AD3"/>
    <w:rsid w:val="00662818"/>
    <w:rsid w:val="00664DC7"/>
    <w:rsid w:val="00666944"/>
    <w:rsid w:val="006776B6"/>
    <w:rsid w:val="00680766"/>
    <w:rsid w:val="00681960"/>
    <w:rsid w:val="0069136C"/>
    <w:rsid w:val="0069139E"/>
    <w:rsid w:val="006925C0"/>
    <w:rsid w:val="00693150"/>
    <w:rsid w:val="006A019B"/>
    <w:rsid w:val="006A10C4"/>
    <w:rsid w:val="006A3F67"/>
    <w:rsid w:val="006A5431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68F2"/>
    <w:rsid w:val="006D1013"/>
    <w:rsid w:val="006D4F33"/>
    <w:rsid w:val="006E0578"/>
    <w:rsid w:val="006E314D"/>
    <w:rsid w:val="006E39BA"/>
    <w:rsid w:val="006E73EC"/>
    <w:rsid w:val="006F07C0"/>
    <w:rsid w:val="006F2C95"/>
    <w:rsid w:val="006F4900"/>
    <w:rsid w:val="007020E6"/>
    <w:rsid w:val="007029E5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27B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B5A5B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4780"/>
    <w:rsid w:val="0090635B"/>
    <w:rsid w:val="009138CB"/>
    <w:rsid w:val="00914F81"/>
    <w:rsid w:val="00922324"/>
    <w:rsid w:val="00922385"/>
    <w:rsid w:val="009223DF"/>
    <w:rsid w:val="009226C1"/>
    <w:rsid w:val="00923406"/>
    <w:rsid w:val="00935987"/>
    <w:rsid w:val="00936091"/>
    <w:rsid w:val="00940D8A"/>
    <w:rsid w:val="00941FBF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043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17C3D"/>
    <w:rsid w:val="00A34271"/>
    <w:rsid w:val="00A3568D"/>
    <w:rsid w:val="00A36E16"/>
    <w:rsid w:val="00A4050F"/>
    <w:rsid w:val="00A43344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3CCE"/>
    <w:rsid w:val="00AA4C9F"/>
    <w:rsid w:val="00AA4CBB"/>
    <w:rsid w:val="00AA65FA"/>
    <w:rsid w:val="00AA6F87"/>
    <w:rsid w:val="00AA7351"/>
    <w:rsid w:val="00AB4EC0"/>
    <w:rsid w:val="00AC30CC"/>
    <w:rsid w:val="00AC3E83"/>
    <w:rsid w:val="00AC59BD"/>
    <w:rsid w:val="00AC62A6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805"/>
    <w:rsid w:val="00B10DF7"/>
    <w:rsid w:val="00B13A26"/>
    <w:rsid w:val="00B15D0D"/>
    <w:rsid w:val="00B17E8A"/>
    <w:rsid w:val="00B22106"/>
    <w:rsid w:val="00B23FBB"/>
    <w:rsid w:val="00B31D98"/>
    <w:rsid w:val="00B344A3"/>
    <w:rsid w:val="00B46BA5"/>
    <w:rsid w:val="00B478F2"/>
    <w:rsid w:val="00B50AB2"/>
    <w:rsid w:val="00B5431A"/>
    <w:rsid w:val="00B55F6C"/>
    <w:rsid w:val="00B56EB2"/>
    <w:rsid w:val="00B60FA8"/>
    <w:rsid w:val="00B74384"/>
    <w:rsid w:val="00B75EE1"/>
    <w:rsid w:val="00B76DCD"/>
    <w:rsid w:val="00B77481"/>
    <w:rsid w:val="00B82624"/>
    <w:rsid w:val="00B8518B"/>
    <w:rsid w:val="00B861EA"/>
    <w:rsid w:val="00B92546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0D7C"/>
    <w:rsid w:val="00BE7F2F"/>
    <w:rsid w:val="00BF2861"/>
    <w:rsid w:val="00BF54FE"/>
    <w:rsid w:val="00BF63A6"/>
    <w:rsid w:val="00BF6CA4"/>
    <w:rsid w:val="00C02D0A"/>
    <w:rsid w:val="00C03A6E"/>
    <w:rsid w:val="00C13860"/>
    <w:rsid w:val="00C14A5E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78A5"/>
    <w:rsid w:val="00C86957"/>
    <w:rsid w:val="00C87756"/>
    <w:rsid w:val="00C9035C"/>
    <w:rsid w:val="00C90DBF"/>
    <w:rsid w:val="00C91B32"/>
    <w:rsid w:val="00C95162"/>
    <w:rsid w:val="00C954CF"/>
    <w:rsid w:val="00C96445"/>
    <w:rsid w:val="00CA7A18"/>
    <w:rsid w:val="00CB24F8"/>
    <w:rsid w:val="00CB6A37"/>
    <w:rsid w:val="00CB7684"/>
    <w:rsid w:val="00CC2A72"/>
    <w:rsid w:val="00CC7ACB"/>
    <w:rsid w:val="00CC7C8F"/>
    <w:rsid w:val="00CD1FC4"/>
    <w:rsid w:val="00CE2768"/>
    <w:rsid w:val="00CF1D0E"/>
    <w:rsid w:val="00D00A2C"/>
    <w:rsid w:val="00D034A0"/>
    <w:rsid w:val="00D038A7"/>
    <w:rsid w:val="00D0732C"/>
    <w:rsid w:val="00D10ED3"/>
    <w:rsid w:val="00D178B4"/>
    <w:rsid w:val="00D21061"/>
    <w:rsid w:val="00D26ED5"/>
    <w:rsid w:val="00D322B7"/>
    <w:rsid w:val="00D4108E"/>
    <w:rsid w:val="00D46B30"/>
    <w:rsid w:val="00D521D0"/>
    <w:rsid w:val="00D5559C"/>
    <w:rsid w:val="00D56FCA"/>
    <w:rsid w:val="00D6163D"/>
    <w:rsid w:val="00D82873"/>
    <w:rsid w:val="00D831A3"/>
    <w:rsid w:val="00D85204"/>
    <w:rsid w:val="00D90C8B"/>
    <w:rsid w:val="00D97BE3"/>
    <w:rsid w:val="00DA1556"/>
    <w:rsid w:val="00DA1C67"/>
    <w:rsid w:val="00DA27EA"/>
    <w:rsid w:val="00DA3711"/>
    <w:rsid w:val="00DB58AA"/>
    <w:rsid w:val="00DB6450"/>
    <w:rsid w:val="00DD46F3"/>
    <w:rsid w:val="00DD6D08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948"/>
    <w:rsid w:val="00E16FEF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77A84"/>
    <w:rsid w:val="00E84C3A"/>
    <w:rsid w:val="00E85795"/>
    <w:rsid w:val="00E878EE"/>
    <w:rsid w:val="00EA0229"/>
    <w:rsid w:val="00EA6EC7"/>
    <w:rsid w:val="00EA6FF1"/>
    <w:rsid w:val="00EB104F"/>
    <w:rsid w:val="00EB46E5"/>
    <w:rsid w:val="00EC38D1"/>
    <w:rsid w:val="00EC613E"/>
    <w:rsid w:val="00ED0703"/>
    <w:rsid w:val="00ED14BD"/>
    <w:rsid w:val="00EE66E7"/>
    <w:rsid w:val="00EF1373"/>
    <w:rsid w:val="00EF1E84"/>
    <w:rsid w:val="00F0110B"/>
    <w:rsid w:val="00F016C7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361FE"/>
    <w:rsid w:val="00F44949"/>
    <w:rsid w:val="00F45607"/>
    <w:rsid w:val="00F4722B"/>
    <w:rsid w:val="00F54432"/>
    <w:rsid w:val="00F577F2"/>
    <w:rsid w:val="00F60DF5"/>
    <w:rsid w:val="00F659EB"/>
    <w:rsid w:val="00F66312"/>
    <w:rsid w:val="00F705D1"/>
    <w:rsid w:val="00F717D6"/>
    <w:rsid w:val="00F717F6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spacing w:after="120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1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6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6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3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4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5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8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Zkladntext20">
    <w:name w:val="Základní text (2)_"/>
    <w:basedOn w:val="Standardnpsmoodstavce"/>
    <w:link w:val="Zkladntext21"/>
    <w:rsid w:val="003A5E43"/>
    <w:rPr>
      <w:rFonts w:cs="Verdana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3A5E43"/>
    <w:pPr>
      <w:widowControl w:val="0"/>
      <w:shd w:val="clear" w:color="auto" w:fill="FFFFFF"/>
      <w:spacing w:before="780" w:after="660" w:line="278" w:lineRule="exact"/>
    </w:pPr>
    <w:rPr>
      <w:rFonts w:cs="Verdan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9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4A125-B490-4EAC-B0A2-99364838E2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316</TotalTime>
  <Pages>4</Pages>
  <Words>707</Words>
  <Characters>4178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4876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35</cp:revision>
  <cp:lastPrinted>2023-02-16T13:29:00Z</cp:lastPrinted>
  <dcterms:created xsi:type="dcterms:W3CDTF">2023-05-15T09:40:00Z</dcterms:created>
  <dcterms:modified xsi:type="dcterms:W3CDTF">2023-06-21T10:14:00Z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